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78-22</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裕民县阿西木江金银加工店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92654225MA77C4Y091</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新疆塔城地区裕民县市场步行街</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阿西木江·麦麦提</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新疆塔城地区裕民县市场步行街</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裕民县阿西木江金银加工店</w:t>
      </w:r>
      <w:r>
        <w:rPr>
          <w:rFonts w:hint="eastAsia" w:ascii="Times New Roman" w:hAnsi="Times New Roman" w:eastAsia="仿宋_GB2312" w:cs="仿宋_GB2312"/>
          <w:sz w:val="32"/>
          <w:szCs w:val="32"/>
          <w:highlight w:val="none"/>
          <w:lang w:val="en-US" w:eastAsia="zh-CN"/>
        </w:rPr>
        <w:t>在税务机关进行营业纳税申报信息显示为：非正常户注销状态</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的登记注册信息，证明裕民县阿西木江金银加工店的成立情况；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2.裕民县阿西木江金银加工店在“国家企业信用信息公示系统（新疆）”的年度报告公示信息，证明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3.裕民县阿西木江金银加工店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裕民县阿西木江金银加工店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裕民县阿西木江金银加工店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5.拍摄的现场照片1份，证明执法人去裕民县阿西木江金银加工店所登记注册的经营场所进行现场检查时，发现该场所无人经营的事实；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6、通话记录截图1份，证明执法人员拨打裕民县阿西木江金银加工店所登记注册的电话号码，无法与当事人取得联系的事实；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047C00"/>
    <w:rsid w:val="011042B6"/>
    <w:rsid w:val="028C560D"/>
    <w:rsid w:val="02AD6E47"/>
    <w:rsid w:val="02E65EFD"/>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2B041AF"/>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2026-02-05T09:09:00Z</cp:lastPrinted>
  <dcterms:modified xsi:type="dcterms:W3CDTF">2026-04-16T10:39:44Z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